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262"/>
        <w:gridCol w:w="1269"/>
        <w:gridCol w:w="2421"/>
        <w:gridCol w:w="1216"/>
        <w:gridCol w:w="2219"/>
      </w:tblGrid>
      <w:tr w:rsidR="0055100C" w14:paraId="70F0DD0A" w14:textId="77777777">
        <w:trPr>
          <w:trHeight w:val="600"/>
        </w:trPr>
        <w:tc>
          <w:tcPr>
            <w:tcW w:w="10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8C57" w14:textId="77777777" w:rsidR="0055100C" w:rsidRDefault="00300558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:rsidR="0055100C" w14:paraId="7A1C4400" w14:textId="77777777">
        <w:trPr>
          <w:trHeight w:val="709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B726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Job Title: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6EB2A02" w14:textId="5BD3DCF2" w:rsidR="0055100C" w:rsidRDefault="002D4A86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People </w:t>
            </w:r>
            <w:r w:rsidR="000A635D">
              <w:rPr>
                <w:rFonts w:ascii="Arial" w:eastAsia="Arial" w:hAnsi="Arial" w:cs="Arial"/>
                <w:color w:val="000000"/>
              </w:rPr>
              <w:t>Partner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B77C93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Line Manager:</w:t>
            </w:r>
          </w:p>
        </w:tc>
        <w:tc>
          <w:tcPr>
            <w:tcW w:w="2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832D1F8" w14:textId="496C33EE" w:rsidR="0055100C" w:rsidRDefault="000A635D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595959"/>
              </w:rPr>
              <w:t>Head of HR</w:t>
            </w:r>
            <w:r w:rsidR="00300558">
              <w:rPr>
                <w:rFonts w:ascii="Arial" w:eastAsia="Arial" w:hAnsi="Arial" w:cs="Arial"/>
                <w:color w:val="595959"/>
              </w:rPr>
              <w:t xml:space="preserve"> 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0ADE446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Position Level: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A1B0859" w14:textId="45EF6DD8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 </w:t>
            </w:r>
          </w:p>
        </w:tc>
      </w:tr>
      <w:tr w:rsidR="0055100C" w14:paraId="7AEC27EF" w14:textId="77777777">
        <w:trPr>
          <w:trHeight w:val="615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B601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Business Unit: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777FD88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595959"/>
              </w:rPr>
              <w:t> People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1463AF3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Direct Reports:</w:t>
            </w:r>
          </w:p>
        </w:tc>
        <w:tc>
          <w:tcPr>
            <w:tcW w:w="24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E504F5F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Variable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01DA36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595959"/>
              </w:rPr>
              <w:t>Location: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1645" w14:textId="77777777" w:rsidR="0055100C" w:rsidRDefault="00300558">
            <w:pP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Agile  </w:t>
            </w:r>
          </w:p>
        </w:tc>
      </w:tr>
      <w:tr w:rsidR="0055100C" w14:paraId="717E0F7E" w14:textId="77777777">
        <w:trPr>
          <w:trHeight w:val="315"/>
        </w:trPr>
        <w:tc>
          <w:tcPr>
            <w:tcW w:w="13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0C4F7FB" w14:textId="77777777" w:rsidR="0055100C" w:rsidRDefault="0055100C">
            <w:pPr>
              <w:spacing w:line="240" w:lineRule="auto"/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228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F6A3146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17F12326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18DE1EAE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1C4BC3B1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19F25E9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00C" w14:paraId="0D7960BF" w14:textId="77777777">
        <w:trPr>
          <w:trHeight w:val="525"/>
        </w:trPr>
        <w:tc>
          <w:tcPr>
            <w:tcW w:w="10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494A" w14:textId="77777777" w:rsidR="0055100C" w:rsidRDefault="00300558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Job Purpose </w:t>
            </w:r>
          </w:p>
        </w:tc>
      </w:tr>
      <w:tr w:rsidR="0055100C" w14:paraId="22C0AC11" w14:textId="77777777">
        <w:trPr>
          <w:trHeight w:val="718"/>
        </w:trPr>
        <w:tc>
          <w:tcPr>
            <w:tcW w:w="1071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3018" w14:textId="77777777" w:rsidR="0055100C" w:rsidRDefault="00300558">
            <w:pPr>
              <w:spacing w:after="16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Purpose</w:t>
            </w:r>
          </w:p>
          <w:p w14:paraId="0C77123B" w14:textId="175C5CB4" w:rsidR="00F66EE2" w:rsidRDefault="00300558">
            <w:pPr>
              <w:spacing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People </w:t>
            </w:r>
            <w:r w:rsidR="000A635D">
              <w:rPr>
                <w:rFonts w:ascii="Arial" w:eastAsia="Arial" w:hAnsi="Arial" w:cs="Arial"/>
                <w:color w:val="000000"/>
              </w:rPr>
              <w:t>Partner</w:t>
            </w:r>
            <w:r>
              <w:rPr>
                <w:rFonts w:ascii="Arial" w:eastAsia="Arial" w:hAnsi="Arial" w:cs="Arial"/>
                <w:color w:val="000000"/>
              </w:rPr>
              <w:t xml:space="preserve">, reporting to the </w:t>
            </w:r>
            <w:r w:rsidR="000A635D">
              <w:rPr>
                <w:rFonts w:ascii="Arial" w:eastAsia="Arial" w:hAnsi="Arial" w:cs="Arial"/>
                <w:color w:val="000000"/>
              </w:rPr>
              <w:t>Head of HR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A635D"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</w:rPr>
              <w:t xml:space="preserve"> aligned to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</w:rPr>
              <w:t xml:space="preserve"> specific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MGroup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division </w:t>
            </w:r>
            <w:r w:rsidR="00EC423E">
              <w:rPr>
                <w:rFonts w:ascii="Arial" w:eastAsia="Arial" w:hAnsi="Arial" w:cs="Arial"/>
                <w:color w:val="000000"/>
              </w:rPr>
              <w:t>driving</w:t>
            </w:r>
            <w:r>
              <w:rPr>
                <w:rFonts w:ascii="Arial" w:eastAsia="Arial" w:hAnsi="Arial" w:cs="Arial"/>
                <w:color w:val="000000"/>
              </w:rPr>
              <w:t xml:space="preserve"> the delivery of the people strategy for the division.  This position entails tackling the most pressing talent opportunities and challenges</w:t>
            </w:r>
            <w:r w:rsidR="000A635D"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successfully collaborat</w:t>
            </w:r>
            <w:r w:rsidR="000A635D">
              <w:rPr>
                <w:rFonts w:ascii="Arial" w:eastAsia="Arial" w:hAnsi="Arial" w:cs="Arial"/>
                <w:color w:val="000000"/>
              </w:rPr>
              <w:t>ing</w:t>
            </w:r>
            <w:r>
              <w:rPr>
                <w:rFonts w:ascii="Arial" w:eastAsia="Arial" w:hAnsi="Arial" w:cs="Arial"/>
                <w:color w:val="000000"/>
              </w:rPr>
              <w:t xml:space="preserve"> with the business leaders to create and enhance value for the business. </w:t>
            </w:r>
          </w:p>
          <w:p w14:paraId="1A9E64CA" w14:textId="32C509E6" w:rsidR="00F66EE2" w:rsidRDefault="006D2A32">
            <w:pPr>
              <w:spacing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Creating a culture</w:t>
            </w:r>
            <w:r w:rsidR="00BB289D">
              <w:rPr>
                <w:rFonts w:ascii="Arial" w:eastAsia="Arial" w:hAnsi="Arial" w:cs="Arial"/>
                <w:color w:val="000000"/>
              </w:rPr>
              <w:t xml:space="preserve"> where 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leadership teams </w:t>
            </w:r>
            <w:r w:rsidR="00BB289D">
              <w:rPr>
                <w:rFonts w:ascii="Arial" w:eastAsia="Arial" w:hAnsi="Arial" w:cs="Arial"/>
                <w:color w:val="000000"/>
              </w:rPr>
              <w:t xml:space="preserve">are focused 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on people matters and through delivery of effective strategies enable the </w:t>
            </w:r>
            <w:r w:rsidR="00BB289D">
              <w:rPr>
                <w:rFonts w:ascii="Arial" w:eastAsia="Arial" w:hAnsi="Arial" w:cs="Arial"/>
                <w:color w:val="000000"/>
              </w:rPr>
              <w:t xml:space="preserve">profitable </w:t>
            </w:r>
            <w:r w:rsidR="00300558">
              <w:rPr>
                <w:rFonts w:ascii="Arial" w:eastAsia="Arial" w:hAnsi="Arial" w:cs="Arial"/>
                <w:color w:val="000000"/>
              </w:rPr>
              <w:t>growth of the division</w:t>
            </w:r>
            <w:r w:rsidR="00DC35C9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DC35C9">
              <w:rPr>
                <w:rFonts w:ascii="Arial" w:eastAsia="Arial" w:hAnsi="Arial" w:cs="Arial"/>
                <w:color w:val="000000"/>
              </w:rPr>
              <w:t>maximise</w:t>
            </w:r>
            <w:proofErr w:type="spellEnd"/>
            <w:r w:rsidR="00DC35C9">
              <w:rPr>
                <w:rFonts w:ascii="Arial" w:eastAsia="Arial" w:hAnsi="Arial" w:cs="Arial"/>
                <w:color w:val="000000"/>
              </w:rPr>
              <w:t xml:space="preserve"> margin and drive productivity and efficiency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.  </w:t>
            </w:r>
          </w:p>
          <w:p w14:paraId="4F990543" w14:textId="0AD03916" w:rsidR="00F66EE2" w:rsidRDefault="000C6681">
            <w:pPr>
              <w:spacing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Deliver</w:t>
            </w:r>
            <w:r w:rsidR="00EC423E">
              <w:rPr>
                <w:rFonts w:ascii="Arial" w:eastAsia="Arial" w:hAnsi="Arial" w:cs="Arial"/>
                <w:color w:val="000000"/>
              </w:rPr>
              <w:t>ing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a positive and inclusive workplace culture within the </w:t>
            </w:r>
            <w:r w:rsidR="00245C98">
              <w:rPr>
                <w:rFonts w:ascii="Arial" w:eastAsia="Arial" w:hAnsi="Arial" w:cs="Arial"/>
                <w:color w:val="000000"/>
              </w:rPr>
              <w:t>d</w:t>
            </w:r>
            <w:r w:rsidR="00F66EE2">
              <w:rPr>
                <w:rFonts w:ascii="Arial" w:eastAsia="Arial" w:hAnsi="Arial" w:cs="Arial"/>
                <w:color w:val="000000"/>
              </w:rPr>
              <w:t>i</w:t>
            </w:r>
            <w:r w:rsidR="00245C98">
              <w:rPr>
                <w:rFonts w:ascii="Arial" w:eastAsia="Arial" w:hAnsi="Arial" w:cs="Arial"/>
                <w:color w:val="000000"/>
              </w:rPr>
              <w:t>vi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sion, fostering employee engagement, morale and satisfaction through effective communication, recognition and </w:t>
            </w:r>
            <w:r w:rsidR="00245C98">
              <w:rPr>
                <w:rFonts w:ascii="Arial" w:eastAsia="Arial" w:hAnsi="Arial" w:cs="Arial"/>
                <w:color w:val="000000"/>
              </w:rPr>
              <w:t>initiatives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that promote a sense of belonging and shared purpose.</w:t>
            </w:r>
          </w:p>
          <w:p w14:paraId="6B1EBEBD" w14:textId="7B9F1718" w:rsidR="0055100C" w:rsidRDefault="00300558">
            <w:pP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Working closely </w:t>
            </w:r>
            <w:r w:rsidR="00DC35C9">
              <w:rPr>
                <w:rFonts w:ascii="Arial" w:eastAsia="Arial" w:hAnsi="Arial" w:cs="Arial"/>
                <w:color w:val="000000"/>
              </w:rPr>
              <w:t xml:space="preserve">and collaboratively </w:t>
            </w:r>
            <w:r>
              <w:rPr>
                <w:rFonts w:ascii="Arial" w:eastAsia="Arial" w:hAnsi="Arial" w:cs="Arial"/>
                <w:color w:val="000000"/>
              </w:rPr>
              <w:t xml:space="preserve">with the </w:t>
            </w:r>
            <w:r w:rsidR="000A635D">
              <w:rPr>
                <w:rFonts w:ascii="Arial" w:eastAsia="Arial" w:hAnsi="Arial" w:cs="Arial"/>
                <w:color w:val="000000"/>
              </w:rPr>
              <w:t>Head of HR</w:t>
            </w:r>
            <w:r>
              <w:rPr>
                <w:rFonts w:ascii="Arial" w:eastAsia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CoE’s</w:t>
            </w:r>
            <w:proofErr w:type="spellEnd"/>
            <w:r w:rsidR="006B33EE">
              <w:rPr>
                <w:rFonts w:ascii="Arial" w:eastAsia="Arial" w:hAnsi="Arial" w:cs="Arial"/>
                <w:color w:val="000000"/>
              </w:rPr>
              <w:t xml:space="preserve"> (Talent Acquisition, Leadership, Learning &amp; Talent, ER, Reward and Shared Services)</w:t>
            </w:r>
            <w:r>
              <w:rPr>
                <w:rFonts w:ascii="Arial" w:eastAsia="Arial" w:hAnsi="Arial" w:cs="Arial"/>
                <w:color w:val="000000"/>
              </w:rPr>
              <w:t xml:space="preserve"> to </w:t>
            </w:r>
            <w:r w:rsidR="00601FB2">
              <w:rPr>
                <w:rFonts w:ascii="Arial" w:eastAsia="Arial" w:hAnsi="Arial" w:cs="Arial"/>
                <w:color w:val="000000"/>
              </w:rPr>
              <w:t>deliver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15885771" w14:textId="02EC3B54" w:rsidR="0055100C" w:rsidRDefault="00601FB2">
            <w:pPr>
              <w:numPr>
                <w:ilvl w:val="0"/>
                <w:numId w:val="1"/>
              </w:numPr>
              <w:tabs>
                <w:tab w:val="left" w:pos="720"/>
              </w:tabs>
              <w:spacing w:after="120"/>
              <w:ind w:left="720" w:hanging="3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division that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is appropriately designed to deliver 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objectives in the short and long-term and that structural change is effectively managed</w:t>
            </w:r>
            <w:r w:rsidR="00F66EE2">
              <w:rPr>
                <w:rFonts w:ascii="Arial" w:eastAsia="Arial" w:hAnsi="Arial" w:cs="Arial"/>
                <w:color w:val="000000"/>
              </w:rPr>
              <w:t>.</w:t>
            </w:r>
          </w:p>
          <w:p w14:paraId="40244555" w14:textId="4DD72796" w:rsidR="00F66EE2" w:rsidRPr="00F66EE2" w:rsidRDefault="00601FB2">
            <w:pPr>
              <w:numPr>
                <w:ilvl w:val="0"/>
                <w:numId w:val="1"/>
              </w:numPr>
              <w:tabs>
                <w:tab w:val="left" w:pos="720"/>
              </w:tabs>
              <w:spacing w:after="120" w:line="240" w:lineRule="auto"/>
              <w:ind w:left="720" w:hanging="3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division that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has a committed, ‘fit for the future’ </w:t>
            </w:r>
            <w:r w:rsidR="00826D28">
              <w:rPr>
                <w:rFonts w:ascii="Arial" w:eastAsia="Arial" w:hAnsi="Arial" w:cs="Arial"/>
                <w:color w:val="000000"/>
              </w:rPr>
              <w:t xml:space="preserve">stable 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workforce needed to deliver its strategic ambition. </w:t>
            </w:r>
          </w:p>
          <w:p w14:paraId="45B4FF51" w14:textId="017DA183" w:rsidR="00826D28" w:rsidRPr="000C6681" w:rsidRDefault="00F66EE2" w:rsidP="000C6681">
            <w:pPr>
              <w:numPr>
                <w:ilvl w:val="0"/>
                <w:numId w:val="1"/>
              </w:numPr>
              <w:tabs>
                <w:tab w:val="left" w:pos="720"/>
              </w:tabs>
              <w:spacing w:after="120" w:line="240" w:lineRule="auto"/>
              <w:ind w:left="720" w:hanging="3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nsight and </w:t>
            </w:r>
            <w:r>
              <w:rPr>
                <w:rFonts w:ascii="Arial" w:eastAsia="Arial" w:hAnsi="Arial" w:cs="Arial"/>
                <w:color w:val="000000"/>
              </w:rPr>
              <w:t xml:space="preserve">thought </w:t>
            </w:r>
            <w:r w:rsidR="00300558">
              <w:rPr>
                <w:rFonts w:ascii="Arial" w:eastAsia="Arial" w:hAnsi="Arial" w:cs="Arial"/>
                <w:color w:val="000000"/>
              </w:rPr>
              <w:t>leadership</w:t>
            </w:r>
            <w:r w:rsidR="00EC423E">
              <w:rPr>
                <w:rFonts w:ascii="Arial" w:eastAsia="Arial" w:hAnsi="Arial" w:cs="Arial"/>
                <w:color w:val="000000"/>
              </w:rPr>
              <w:t>,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development and </w:t>
            </w:r>
            <w:r>
              <w:rPr>
                <w:rFonts w:ascii="Arial" w:eastAsia="Arial" w:hAnsi="Arial" w:cs="Arial"/>
                <w:color w:val="000000"/>
              </w:rPr>
              <w:t xml:space="preserve">the </w:t>
            </w:r>
            <w:r w:rsidR="00300558">
              <w:rPr>
                <w:rFonts w:ascii="Arial" w:eastAsia="Arial" w:hAnsi="Arial" w:cs="Arial"/>
                <w:color w:val="000000"/>
              </w:rPr>
              <w:t>execution of any capability, cultural and change activities.</w:t>
            </w:r>
          </w:p>
          <w:p w14:paraId="56269F78" w14:textId="77D493C8" w:rsidR="0055100C" w:rsidRDefault="00300558">
            <w:pPr>
              <w:spacing w:before="280" w:after="12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Advocating for and contributing to the success of the </w:t>
            </w:r>
            <w:r w:rsidR="00F66EE2"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 xml:space="preserve">eople function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as a whole including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CoE’s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as well as role modelling the M Group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behaviours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and values.</w:t>
            </w:r>
          </w:p>
        </w:tc>
      </w:tr>
      <w:tr w:rsidR="0055100C" w14:paraId="7351E95D" w14:textId="77777777">
        <w:trPr>
          <w:trHeight w:val="315"/>
        </w:trPr>
        <w:tc>
          <w:tcPr>
            <w:tcW w:w="13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495CA1D" w14:textId="77777777" w:rsidR="0055100C" w:rsidRDefault="0055100C">
            <w:pPr>
              <w:spacing w:line="240" w:lineRule="auto"/>
              <w:rPr>
                <w:color w:val="808080"/>
              </w:rPr>
            </w:pPr>
          </w:p>
        </w:tc>
        <w:tc>
          <w:tcPr>
            <w:tcW w:w="228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11778E62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329E02E5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72E1D4FE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CB51141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963C38E" w14:textId="77777777" w:rsidR="0055100C" w:rsidRDefault="00551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00C" w14:paraId="4AA2EF82" w14:textId="77777777">
        <w:trPr>
          <w:trHeight w:val="540"/>
        </w:trPr>
        <w:tc>
          <w:tcPr>
            <w:tcW w:w="10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7944" w14:textId="77777777" w:rsidR="0055100C" w:rsidRDefault="00300558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Key Accountabilities </w:t>
            </w:r>
          </w:p>
        </w:tc>
      </w:tr>
      <w:tr w:rsidR="0055100C" w14:paraId="476C8780" w14:textId="77777777">
        <w:trPr>
          <w:trHeight w:val="60"/>
        </w:trPr>
        <w:tc>
          <w:tcPr>
            <w:tcW w:w="10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4B68" w14:textId="16A7F59A" w:rsidR="0055100C" w:rsidRDefault="002D4A86">
            <w:pPr>
              <w:numPr>
                <w:ilvl w:val="0"/>
                <w:numId w:val="2"/>
              </w:numPr>
              <w:tabs>
                <w:tab w:val="left" w:pos="552"/>
              </w:tabs>
              <w:spacing w:before="280" w:after="120" w:line="240" w:lineRule="auto"/>
              <w:ind w:left="482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Provide strategic and </w:t>
            </w:r>
            <w:r w:rsidR="00BD2996">
              <w:rPr>
                <w:rFonts w:ascii="Arial" w:eastAsia="Arial" w:hAnsi="Arial" w:cs="Arial"/>
                <w:color w:val="000000"/>
              </w:rPr>
              <w:t>BAU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EC423E">
              <w:rPr>
                <w:rFonts w:ascii="Arial" w:eastAsia="Arial" w:hAnsi="Arial" w:cs="Arial"/>
                <w:color w:val="000000"/>
              </w:rPr>
              <w:t xml:space="preserve">support </w:t>
            </w:r>
            <w:r>
              <w:rPr>
                <w:rFonts w:ascii="Arial" w:eastAsia="Arial" w:hAnsi="Arial" w:cs="Arial"/>
                <w:color w:val="000000"/>
              </w:rPr>
              <w:t>driv</w:t>
            </w:r>
            <w:r w:rsidR="00BD2996">
              <w:rPr>
                <w:rFonts w:ascii="Arial" w:eastAsia="Arial" w:hAnsi="Arial" w:cs="Arial"/>
                <w:color w:val="000000"/>
              </w:rPr>
              <w:t>ing</w:t>
            </w:r>
            <w:r>
              <w:rPr>
                <w:rFonts w:ascii="Arial" w:eastAsia="Arial" w:hAnsi="Arial" w:cs="Arial"/>
                <w:color w:val="000000"/>
              </w:rPr>
              <w:t xml:space="preserve"> the d</w:t>
            </w:r>
            <w:r w:rsidR="00461EE7">
              <w:rPr>
                <w:rFonts w:ascii="Arial" w:eastAsia="Arial" w:hAnsi="Arial" w:cs="Arial"/>
                <w:color w:val="000000"/>
              </w:rPr>
              <w:t>evelop</w:t>
            </w:r>
            <w:r>
              <w:rPr>
                <w:rFonts w:ascii="Arial" w:eastAsia="Arial" w:hAnsi="Arial" w:cs="Arial"/>
                <w:color w:val="000000"/>
              </w:rPr>
              <w:t>ment</w:t>
            </w:r>
            <w:r w:rsidR="00461EE7">
              <w:rPr>
                <w:rFonts w:ascii="Arial" w:eastAsia="Arial" w:hAnsi="Arial" w:cs="Arial"/>
                <w:color w:val="000000"/>
              </w:rPr>
              <w:t xml:space="preserve"> and deliver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</w:t>
            </w:r>
            <w:r w:rsidR="00BD2996">
              <w:rPr>
                <w:rFonts w:ascii="Arial" w:eastAsia="Arial" w:hAnsi="Arial" w:cs="Arial"/>
                <w:color w:val="000000"/>
              </w:rPr>
              <w:t xml:space="preserve">of </w:t>
            </w:r>
            <w:r w:rsidR="00300558">
              <w:rPr>
                <w:rFonts w:ascii="Arial" w:eastAsia="Arial" w:hAnsi="Arial" w:cs="Arial"/>
                <w:color w:val="000000"/>
              </w:rPr>
              <w:t>divisional people plans/strategies that support business goals and priorities</w:t>
            </w:r>
            <w:r w:rsidR="00553B25">
              <w:rPr>
                <w:rFonts w:ascii="Arial" w:eastAsia="Arial" w:hAnsi="Arial" w:cs="Arial"/>
                <w:color w:val="000000"/>
              </w:rPr>
              <w:t xml:space="preserve">.  </w:t>
            </w:r>
          </w:p>
          <w:p w14:paraId="728E318E" w14:textId="2B341888" w:rsidR="00553B25" w:rsidRPr="00553B25" w:rsidRDefault="00300558">
            <w:pPr>
              <w:numPr>
                <w:ilvl w:val="0"/>
                <w:numId w:val="2"/>
              </w:numPr>
              <w:tabs>
                <w:tab w:val="left" w:pos="552"/>
              </w:tabs>
              <w:spacing w:after="120" w:line="240" w:lineRule="auto"/>
              <w:ind w:left="482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Understand external </w:t>
            </w:r>
            <w:proofErr w:type="spellStart"/>
            <w:r w:rsidR="00CF7CF5">
              <w:rPr>
                <w:rFonts w:ascii="Arial" w:eastAsia="Arial" w:hAnsi="Arial" w:cs="Arial"/>
                <w:color w:val="000000"/>
              </w:rPr>
              <w:t>labour</w:t>
            </w:r>
            <w:proofErr w:type="spellEnd"/>
            <w:r w:rsidR="00CF7CF5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market conditions and potential challenges </w:t>
            </w:r>
            <w:r w:rsidR="00E30566">
              <w:rPr>
                <w:rFonts w:ascii="Arial" w:eastAsia="Arial" w:hAnsi="Arial" w:cs="Arial"/>
                <w:color w:val="000000"/>
              </w:rPr>
              <w:t>delivering</w:t>
            </w:r>
            <w:r>
              <w:rPr>
                <w:rFonts w:ascii="Arial" w:eastAsia="Arial" w:hAnsi="Arial" w:cs="Arial"/>
                <w:color w:val="000000"/>
              </w:rPr>
              <w:t xml:space="preserve"> recommendations to mitigate and offset as required.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FF06E74" w14:textId="314C9EBE" w:rsidR="0055100C" w:rsidRDefault="00EC423E">
            <w:pPr>
              <w:numPr>
                <w:ilvl w:val="0"/>
                <w:numId w:val="2"/>
              </w:numPr>
              <w:tabs>
                <w:tab w:val="left" w:pos="552"/>
              </w:tabs>
              <w:spacing w:after="120" w:line="240" w:lineRule="auto"/>
              <w:ind w:left="482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Work with the Group Talent Acquisition team to create </w:t>
            </w:r>
            <w:r w:rsidR="00F66EE2">
              <w:rPr>
                <w:rFonts w:ascii="Arial" w:eastAsia="Arial" w:hAnsi="Arial" w:cs="Arial"/>
                <w:color w:val="000000"/>
              </w:rPr>
              <w:t>strategic workforce plan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 w:rsidR="00F66EE2">
              <w:rPr>
                <w:rFonts w:ascii="Arial" w:eastAsia="Arial" w:hAnsi="Arial" w:cs="Arial"/>
                <w:color w:val="000000"/>
              </w:rPr>
              <w:t xml:space="preserve"> </w:t>
            </w:r>
            <w:r w:rsidR="00E30566">
              <w:rPr>
                <w:rFonts w:ascii="Arial" w:eastAsia="Arial" w:hAnsi="Arial" w:cs="Arial"/>
                <w:color w:val="000000"/>
              </w:rPr>
              <w:t>deliver the required levels, quality and competency</w:t>
            </w:r>
            <w:r w:rsidR="00BD2F37">
              <w:rPr>
                <w:rFonts w:ascii="Arial" w:eastAsia="Arial" w:hAnsi="Arial" w:cs="Arial"/>
                <w:color w:val="000000"/>
              </w:rPr>
              <w:t xml:space="preserve"> of resource in a timely manner to support the business plan. </w:t>
            </w:r>
          </w:p>
          <w:p w14:paraId="16291BAC" w14:textId="4E2FCED5" w:rsidR="0055100C" w:rsidRDefault="00EC423E">
            <w:pPr>
              <w:numPr>
                <w:ilvl w:val="0"/>
                <w:numId w:val="2"/>
              </w:numPr>
              <w:tabs>
                <w:tab w:val="left" w:pos="552"/>
              </w:tabs>
              <w:spacing w:after="120" w:line="240" w:lineRule="auto"/>
              <w:ind w:left="482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Provide valuable input to</w:t>
            </w:r>
            <w:r w:rsidR="00DE5CF8">
              <w:rPr>
                <w:rFonts w:ascii="Arial" w:eastAsia="Arial" w:hAnsi="Arial" w:cs="Arial"/>
                <w:color w:val="000000"/>
              </w:rPr>
              <w:t xml:space="preserve"> 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group people initiatives along with </w:t>
            </w:r>
            <w:r>
              <w:rPr>
                <w:rFonts w:ascii="Arial" w:eastAsia="Arial" w:hAnsi="Arial" w:cs="Arial"/>
                <w:color w:val="000000"/>
              </w:rPr>
              <w:t>supporting the creation and delivery of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the annual </w:t>
            </w:r>
            <w:r w:rsidR="00DE5CF8">
              <w:rPr>
                <w:rFonts w:ascii="Arial" w:eastAsia="Arial" w:hAnsi="Arial" w:cs="Arial"/>
                <w:color w:val="000000"/>
              </w:rPr>
              <w:t>divisional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300558">
              <w:rPr>
                <w:rFonts w:ascii="Arial" w:eastAsia="Arial" w:hAnsi="Arial" w:cs="Arial"/>
                <w:color w:val="000000"/>
              </w:rPr>
              <w:t>calendar of activities</w:t>
            </w:r>
            <w:r w:rsidR="00DE5CF8">
              <w:rPr>
                <w:rFonts w:ascii="Arial" w:eastAsia="Arial" w:hAnsi="Arial" w:cs="Arial"/>
                <w:color w:val="000000"/>
              </w:rPr>
              <w:t>.</w:t>
            </w:r>
          </w:p>
          <w:p w14:paraId="421758D8" w14:textId="2C08B85B" w:rsidR="0055100C" w:rsidRDefault="00EC423E">
            <w:pPr>
              <w:numPr>
                <w:ilvl w:val="0"/>
                <w:numId w:val="2"/>
              </w:numPr>
              <w:tabs>
                <w:tab w:val="left" w:pos="517"/>
              </w:tabs>
              <w:spacing w:after="120" w:line="240" w:lineRule="auto"/>
              <w:ind w:left="447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Support </w:t>
            </w:r>
            <w:r w:rsidR="00300558">
              <w:rPr>
                <w:rFonts w:ascii="Arial" w:eastAsia="Arial" w:hAnsi="Arial" w:cs="Arial"/>
                <w:color w:val="000000"/>
              </w:rPr>
              <w:t>talent management and development plan</w:t>
            </w:r>
            <w:r w:rsidR="00CF7CF5">
              <w:rPr>
                <w:rFonts w:ascii="Arial" w:eastAsia="Arial" w:hAnsi="Arial" w:cs="Arial"/>
                <w:color w:val="000000"/>
              </w:rPr>
              <w:t>ning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for the division, enhancing the quality of leaders and managers</w:t>
            </w:r>
            <w:r w:rsidR="00CF7CF5">
              <w:rPr>
                <w:rFonts w:ascii="Arial" w:eastAsia="Arial" w:hAnsi="Arial" w:cs="Arial"/>
                <w:color w:val="000000"/>
              </w:rPr>
              <w:t>.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</w:t>
            </w:r>
            <w:r w:rsidR="002D4A86">
              <w:rPr>
                <w:rFonts w:ascii="Arial" w:eastAsia="Arial" w:hAnsi="Arial" w:cs="Arial"/>
                <w:color w:val="000000"/>
              </w:rPr>
              <w:t>In conjunction with the Group L</w:t>
            </w:r>
            <w:r>
              <w:rPr>
                <w:rFonts w:ascii="Arial" w:eastAsia="Arial" w:hAnsi="Arial" w:cs="Arial"/>
                <w:color w:val="000000"/>
              </w:rPr>
              <w:t>&amp;D</w:t>
            </w:r>
            <w:r w:rsidR="002D4A86">
              <w:rPr>
                <w:rFonts w:ascii="Arial" w:eastAsia="Arial" w:hAnsi="Arial" w:cs="Arial"/>
                <w:color w:val="000000"/>
              </w:rPr>
              <w:t xml:space="preserve"> team i</w:t>
            </w:r>
            <w:r w:rsidR="00CF7CF5">
              <w:rPr>
                <w:rFonts w:ascii="Arial" w:eastAsia="Arial" w:hAnsi="Arial" w:cs="Arial"/>
                <w:color w:val="000000"/>
              </w:rPr>
              <w:t>dentifying opportunities to build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skills and capabilities of the workforce</w:t>
            </w:r>
            <w:r w:rsidR="00CF7CF5">
              <w:rPr>
                <w:rFonts w:ascii="Arial" w:eastAsia="Arial" w:hAnsi="Arial" w:cs="Arial"/>
                <w:color w:val="000000"/>
              </w:rPr>
              <w:t>,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</w:t>
            </w:r>
            <w:r w:rsidR="00CF7CF5">
              <w:rPr>
                <w:rFonts w:ascii="Arial" w:eastAsia="Arial" w:hAnsi="Arial" w:cs="Arial"/>
                <w:color w:val="000000"/>
              </w:rPr>
              <w:t xml:space="preserve">supporting development plans for high potentials </w:t>
            </w:r>
            <w:r w:rsidR="00300558">
              <w:rPr>
                <w:rFonts w:ascii="Arial" w:eastAsia="Arial" w:hAnsi="Arial" w:cs="Arial"/>
                <w:color w:val="000000"/>
              </w:rPr>
              <w:t>and ensuring succession bench strength.</w:t>
            </w:r>
          </w:p>
          <w:p w14:paraId="7AD424D7" w14:textId="04145113" w:rsidR="0055100C" w:rsidRDefault="00EC423E">
            <w:pPr>
              <w:numPr>
                <w:ilvl w:val="0"/>
                <w:numId w:val="2"/>
              </w:numPr>
              <w:tabs>
                <w:tab w:val="left" w:pos="517"/>
              </w:tabs>
              <w:spacing w:after="120" w:line="240" w:lineRule="auto"/>
              <w:ind w:left="447" w:hanging="35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</w:t>
            </w:r>
            <w:r w:rsidR="00300558">
              <w:rPr>
                <w:rFonts w:ascii="Arial" w:eastAsia="Arial" w:hAnsi="Arial" w:cs="Arial"/>
                <w:color w:val="000000"/>
              </w:rPr>
              <w:t>, from a people perspective, TUPE’s and M&amp;A activity.</w:t>
            </w:r>
          </w:p>
          <w:p w14:paraId="7F584748" w14:textId="47816D2C" w:rsidR="0055100C" w:rsidRDefault="003005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Using</w:t>
            </w:r>
            <w:r w:rsidR="00461EE7">
              <w:rPr>
                <w:rFonts w:ascii="Arial" w:eastAsia="Arial" w:hAnsi="Arial" w:cs="Arial"/>
                <w:color w:val="000000"/>
              </w:rPr>
              <w:t xml:space="preserve"> HR</w:t>
            </w:r>
            <w:r>
              <w:rPr>
                <w:rFonts w:ascii="Arial" w:eastAsia="Arial" w:hAnsi="Arial" w:cs="Arial"/>
                <w:color w:val="000000"/>
              </w:rPr>
              <w:t xml:space="preserve"> experience, skills</w:t>
            </w:r>
            <w:r w:rsidR="00A5187B"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knowledge </w:t>
            </w:r>
            <w:r w:rsidR="00461EE7">
              <w:rPr>
                <w:rFonts w:ascii="Arial" w:eastAsia="Arial" w:hAnsi="Arial" w:cs="Arial"/>
                <w:color w:val="000000"/>
              </w:rPr>
              <w:t xml:space="preserve">and </w:t>
            </w:r>
            <w:r w:rsidR="00A5187B">
              <w:rPr>
                <w:rFonts w:ascii="Arial" w:eastAsia="Arial" w:hAnsi="Arial" w:cs="Arial"/>
                <w:color w:val="000000"/>
              </w:rPr>
              <w:t>collaboration</w:t>
            </w:r>
            <w:r w:rsidR="00342AC4"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make an impact in key areas such as change, employee engagement and talent/data analytics</w:t>
            </w:r>
            <w:r w:rsidR="002D4A86">
              <w:rPr>
                <w:rFonts w:ascii="Arial" w:eastAsia="Arial" w:hAnsi="Arial" w:cs="Arial"/>
                <w:color w:val="000000"/>
              </w:rPr>
              <w:t>.</w:t>
            </w:r>
          </w:p>
          <w:p w14:paraId="6FDC2CC4" w14:textId="006CD8F4" w:rsidR="0055100C" w:rsidRPr="002B2A50" w:rsidRDefault="003005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insights to identify</w:t>
            </w:r>
            <w:r w:rsidR="002D4A86">
              <w:rPr>
                <w:rFonts w:ascii="Arial" w:eastAsia="Arial" w:hAnsi="Arial" w:cs="Arial"/>
                <w:color w:val="000000"/>
              </w:rPr>
              <w:t xml:space="preserve"> people</w:t>
            </w:r>
            <w:r>
              <w:rPr>
                <w:rFonts w:ascii="Arial" w:eastAsia="Arial" w:hAnsi="Arial" w:cs="Arial"/>
                <w:color w:val="000000"/>
              </w:rPr>
              <w:t xml:space="preserve"> opportunities, priorities and potential risks. Creating mitigation and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optimisation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plans, influencing leaders and colleagues to implement them. With a view to enhance the long-term health and reputation of the business. </w:t>
            </w:r>
          </w:p>
          <w:p w14:paraId="1AA3E02F" w14:textId="5775A3A0" w:rsidR="002B2A50" w:rsidRPr="005D6E17" w:rsidRDefault="002B2A5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rFonts w:ascii="Arial" w:hAnsi="Arial" w:cs="Arial"/>
                <w:color w:val="000000"/>
              </w:rPr>
            </w:pPr>
            <w:r w:rsidRPr="005D6E17">
              <w:rPr>
                <w:rFonts w:ascii="Arial" w:hAnsi="Arial" w:cs="Arial"/>
                <w:color w:val="000000"/>
              </w:rPr>
              <w:t>Support and enable</w:t>
            </w:r>
            <w:r w:rsidR="00E825B3" w:rsidRPr="005D6E17">
              <w:rPr>
                <w:rFonts w:ascii="Arial" w:hAnsi="Arial" w:cs="Arial"/>
                <w:color w:val="000000"/>
              </w:rPr>
              <w:t xml:space="preserve"> proactive advice when required to line management on employment matters, </w:t>
            </w:r>
            <w:proofErr w:type="spellStart"/>
            <w:r w:rsidR="00E825B3" w:rsidRPr="005D6E17">
              <w:rPr>
                <w:rFonts w:ascii="Arial" w:hAnsi="Arial" w:cs="Arial"/>
                <w:color w:val="000000"/>
              </w:rPr>
              <w:t>utili</w:t>
            </w:r>
            <w:r w:rsidR="005D6E17" w:rsidRPr="005D6E17">
              <w:rPr>
                <w:rFonts w:ascii="Arial" w:hAnsi="Arial" w:cs="Arial"/>
                <w:color w:val="000000"/>
              </w:rPr>
              <w:t>s</w:t>
            </w:r>
            <w:r w:rsidR="00E825B3" w:rsidRPr="005D6E17">
              <w:rPr>
                <w:rFonts w:ascii="Arial" w:hAnsi="Arial" w:cs="Arial"/>
                <w:color w:val="000000"/>
              </w:rPr>
              <w:t>ing</w:t>
            </w:r>
            <w:proofErr w:type="spellEnd"/>
            <w:r w:rsidR="00E825B3" w:rsidRPr="005D6E17">
              <w:rPr>
                <w:rFonts w:ascii="Arial" w:hAnsi="Arial" w:cs="Arial"/>
                <w:color w:val="000000"/>
              </w:rPr>
              <w:t xml:space="preserve"> specialist support as required</w:t>
            </w:r>
            <w:r w:rsidR="005D6E17" w:rsidRPr="005D6E17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="005D6E17" w:rsidRPr="005D6E17">
              <w:rPr>
                <w:rFonts w:ascii="Arial" w:hAnsi="Arial" w:cs="Arial"/>
                <w:color w:val="000000"/>
              </w:rPr>
              <w:t>utili</w:t>
            </w:r>
            <w:r w:rsidR="00EC423E">
              <w:rPr>
                <w:rFonts w:ascii="Arial" w:hAnsi="Arial" w:cs="Arial"/>
                <w:color w:val="000000"/>
              </w:rPr>
              <w:t>s</w:t>
            </w:r>
            <w:r w:rsidR="005D6E17" w:rsidRPr="005D6E17">
              <w:rPr>
                <w:rFonts w:ascii="Arial" w:hAnsi="Arial" w:cs="Arial"/>
                <w:color w:val="000000"/>
              </w:rPr>
              <w:t>ing</w:t>
            </w:r>
            <w:proofErr w:type="spellEnd"/>
            <w:r w:rsidR="005D6E17" w:rsidRPr="005D6E17">
              <w:rPr>
                <w:rFonts w:ascii="Arial" w:hAnsi="Arial" w:cs="Arial"/>
                <w:color w:val="000000"/>
              </w:rPr>
              <w:t xml:space="preserve"> the resultant data to inform on review of people initiatives and policy.</w:t>
            </w:r>
          </w:p>
          <w:p w14:paraId="780F5549" w14:textId="68B30A9A" w:rsidR="0055100C" w:rsidRDefault="003005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Coach and build the capability of </w:t>
            </w:r>
            <w:r w:rsidR="00EC423E">
              <w:rPr>
                <w:rFonts w:ascii="Arial" w:eastAsia="Arial" w:hAnsi="Arial" w:cs="Arial"/>
                <w:color w:val="000000"/>
              </w:rPr>
              <w:t xml:space="preserve">leaders and </w:t>
            </w:r>
            <w:r>
              <w:rPr>
                <w:rFonts w:ascii="Arial" w:eastAsia="Arial" w:hAnsi="Arial" w:cs="Arial"/>
                <w:color w:val="000000"/>
              </w:rPr>
              <w:t xml:space="preserve">managers to anticipate and pre-empt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issues</w:t>
            </w:r>
          </w:p>
          <w:p w14:paraId="0167F668" w14:textId="5A09BBBC" w:rsidR="0055100C" w:rsidRPr="00EC423E" w:rsidRDefault="00EC42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 the delivery of</w:t>
            </w:r>
            <w:r w:rsidR="00300558">
              <w:rPr>
                <w:rFonts w:ascii="Arial" w:eastAsia="Arial" w:hAnsi="Arial" w:cs="Arial"/>
                <w:color w:val="000000"/>
              </w:rPr>
              <w:t xml:space="preserve"> performance management and reward strategies to reinforce an environment of dedication and innovation with and across business units.</w:t>
            </w:r>
          </w:p>
          <w:p w14:paraId="79786461" w14:textId="508AE660" w:rsidR="00EC423E" w:rsidRPr="00EC423E" w:rsidRDefault="00EC42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7"/>
              </w:tabs>
              <w:spacing w:after="120" w:line="240" w:lineRule="auto"/>
              <w:ind w:left="447" w:hanging="357"/>
              <w:textAlignment w:val="top"/>
              <w:rPr>
                <w:rFonts w:ascii="Arial" w:hAnsi="Arial" w:cs="Arial"/>
                <w:color w:val="000000"/>
              </w:rPr>
            </w:pPr>
            <w:r w:rsidRPr="00EC423E">
              <w:rPr>
                <w:rFonts w:ascii="Arial" w:hAnsi="Arial" w:cs="Arial"/>
                <w:color w:val="000000"/>
              </w:rPr>
              <w:t>Manage the relationship with the trade union to ensure effective employee relations</w:t>
            </w:r>
          </w:p>
          <w:p w14:paraId="08926DA9" w14:textId="77777777" w:rsidR="0055100C" w:rsidRDefault="00300558">
            <w:pPr>
              <w:spacing w:after="1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Performance Indicators</w:t>
            </w:r>
          </w:p>
          <w:p w14:paraId="43155250" w14:textId="77777777" w:rsidR="0055100C" w:rsidRDefault="00300558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Key milestone</w:t>
            </w:r>
            <w:r w:rsidR="009F621E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/ deliverable</w:t>
            </w:r>
            <w:r w:rsidR="009F621E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on people plan, functional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effectiveness, </w:t>
            </w:r>
            <w:r w:rsidR="00A100EE">
              <w:rPr>
                <w:rFonts w:ascii="Arial" w:eastAsia="Arial" w:hAnsi="Arial" w:cs="Arial"/>
                <w:color w:val="000000"/>
              </w:rPr>
              <w:t>vacancy rates, stability</w:t>
            </w:r>
            <w:r w:rsidR="00E95925"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attrition, engagement, feedback.</w:t>
            </w:r>
          </w:p>
          <w:p w14:paraId="396EB908" w14:textId="77777777" w:rsidR="00E95925" w:rsidRDefault="00E95925">
            <w:pPr>
              <w:spacing w:line="240" w:lineRule="auto"/>
              <w:jc w:val="both"/>
              <w:rPr>
                <w:color w:val="000000"/>
              </w:rPr>
            </w:pPr>
          </w:p>
          <w:p w14:paraId="1AE75676" w14:textId="77777777" w:rsidR="00E95925" w:rsidRPr="00D35B58" w:rsidRDefault="00E9592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35B58">
              <w:rPr>
                <w:rFonts w:ascii="Arial" w:hAnsi="Arial" w:cs="Arial"/>
                <w:b/>
                <w:bCs/>
                <w:color w:val="000000"/>
              </w:rPr>
              <w:t>Note:</w:t>
            </w:r>
          </w:p>
          <w:p w14:paraId="7485ADE1" w14:textId="14F690DC" w:rsidR="00E95925" w:rsidRDefault="00E95925">
            <w:pPr>
              <w:spacing w:line="240" w:lineRule="auto"/>
              <w:jc w:val="both"/>
              <w:rPr>
                <w:color w:val="000000"/>
              </w:rPr>
            </w:pPr>
            <w:r w:rsidRPr="00D35B58">
              <w:rPr>
                <w:rFonts w:ascii="Arial" w:hAnsi="Arial" w:cs="Arial"/>
                <w:color w:val="000000"/>
              </w:rPr>
              <w:t xml:space="preserve">This is </w:t>
            </w:r>
            <w:r w:rsidR="00DE7694" w:rsidRPr="00D35B58">
              <w:rPr>
                <w:rFonts w:ascii="Arial" w:hAnsi="Arial" w:cs="Arial"/>
                <w:color w:val="000000"/>
              </w:rPr>
              <w:t xml:space="preserve">not intended to </w:t>
            </w:r>
            <w:r w:rsidR="00292EB9" w:rsidRPr="00D35B58">
              <w:rPr>
                <w:rFonts w:ascii="Arial" w:hAnsi="Arial" w:cs="Arial"/>
                <w:color w:val="000000"/>
              </w:rPr>
              <w:t>cover or contain a comprehensive listing of activities</w:t>
            </w:r>
            <w:r w:rsidR="00D35B58" w:rsidRPr="00D35B58">
              <w:rPr>
                <w:rFonts w:ascii="Arial" w:hAnsi="Arial" w:cs="Arial"/>
                <w:color w:val="000000"/>
              </w:rPr>
              <w:t>, duties or accountabilities that are required and may ultimately vary from division to division.  The Group reserve the right to amend from time to time.</w:t>
            </w:r>
          </w:p>
        </w:tc>
      </w:tr>
    </w:tbl>
    <w:p w14:paraId="29970F98" w14:textId="77777777" w:rsidR="0055100C" w:rsidRDefault="0055100C">
      <w:pPr>
        <w:spacing w:after="160"/>
      </w:pPr>
    </w:p>
    <w:p w14:paraId="5ACED3B0" w14:textId="77777777" w:rsidR="00F438CF" w:rsidRDefault="00F438CF">
      <w:pPr>
        <w:spacing w:after="160"/>
      </w:pPr>
    </w:p>
    <w:p w14:paraId="35EB6563" w14:textId="77777777" w:rsidR="00F438CF" w:rsidRDefault="00F438CF">
      <w:pPr>
        <w:spacing w:after="160"/>
      </w:pPr>
    </w:p>
    <w:p w14:paraId="0B91A543" w14:textId="77777777" w:rsidR="00F438CF" w:rsidRDefault="00F438CF">
      <w:pPr>
        <w:spacing w:after="160"/>
      </w:pPr>
    </w:p>
    <w:p w14:paraId="079A5145" w14:textId="77777777" w:rsidR="00F438CF" w:rsidRDefault="00F438CF">
      <w:pPr>
        <w:spacing w:after="160"/>
      </w:pPr>
    </w:p>
    <w:p w14:paraId="30ED7873" w14:textId="77777777" w:rsidR="00F438CF" w:rsidRDefault="00F438CF">
      <w:pPr>
        <w:spacing w:after="160"/>
      </w:pPr>
    </w:p>
    <w:p w14:paraId="2C58C4D2" w14:textId="77777777" w:rsidR="00F438CF" w:rsidRDefault="00F438CF">
      <w:pPr>
        <w:spacing w:after="160"/>
      </w:pPr>
    </w:p>
    <w:p w14:paraId="1FE3A988" w14:textId="77777777" w:rsidR="00F438CF" w:rsidRDefault="00F438CF">
      <w:pPr>
        <w:spacing w:after="160"/>
      </w:pPr>
    </w:p>
    <w:p w14:paraId="15F44AA7" w14:textId="77777777" w:rsidR="00F438CF" w:rsidRDefault="00F438CF">
      <w:pPr>
        <w:spacing w:after="160"/>
      </w:pPr>
    </w:p>
    <w:p w14:paraId="607C75F9" w14:textId="77777777" w:rsidR="00F438CF" w:rsidRDefault="00F438CF">
      <w:pPr>
        <w:spacing w:after="160"/>
      </w:pPr>
    </w:p>
    <w:p w14:paraId="5E2A8E55" w14:textId="77777777" w:rsidR="00F438CF" w:rsidRDefault="00F438CF">
      <w:pPr>
        <w:spacing w:after="160"/>
      </w:pPr>
    </w:p>
    <w:p w14:paraId="0C3C5D6A" w14:textId="77777777" w:rsidR="00F438CF" w:rsidRDefault="00F438CF">
      <w:pPr>
        <w:spacing w:after="160"/>
      </w:pPr>
    </w:p>
    <w:p w14:paraId="441C600F" w14:textId="77777777" w:rsidR="00F438CF" w:rsidRDefault="00F438CF">
      <w:pPr>
        <w:spacing w:after="160"/>
      </w:pPr>
    </w:p>
    <w:p w14:paraId="3CE9D81B" w14:textId="77777777" w:rsidR="00F438CF" w:rsidRDefault="00F438CF">
      <w:pPr>
        <w:spacing w:after="160"/>
      </w:pPr>
    </w:p>
    <w:p w14:paraId="1308D317" w14:textId="77777777" w:rsidR="00F438CF" w:rsidRDefault="00F438CF">
      <w:pPr>
        <w:spacing w:after="160"/>
      </w:pPr>
    </w:p>
    <w:p w14:paraId="3AC0BC15" w14:textId="77777777" w:rsidR="00F438CF" w:rsidRDefault="00F438CF">
      <w:pPr>
        <w:spacing w:after="160"/>
      </w:pPr>
    </w:p>
    <w:p w14:paraId="7F7AD12D" w14:textId="37BD7770" w:rsidR="00F438CF" w:rsidRDefault="00F438CF">
      <w:pPr>
        <w:spacing w:after="160"/>
      </w:pPr>
      <w:r>
        <w:rPr>
          <w:noProof/>
        </w:rPr>
        <w:drawing>
          <wp:inline distT="0" distB="0" distL="0" distR="0" wp14:anchorId="7A9BCF5D" wp14:editId="29EBCB73">
            <wp:extent cx="6570980" cy="4826635"/>
            <wp:effectExtent l="0" t="0" r="1270" b="0"/>
            <wp:docPr id="30385130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51309" name="Picture 1" descr="A white backgroun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7EE0" w14:textId="5EA4B965" w:rsidR="00F438CF" w:rsidRDefault="00F438CF">
      <w:pPr>
        <w:spacing w:after="160"/>
      </w:pPr>
      <w:r>
        <w:rPr>
          <w:noProof/>
        </w:rPr>
        <w:lastRenderedPageBreak/>
        <w:drawing>
          <wp:inline distT="0" distB="0" distL="0" distR="0" wp14:anchorId="70693CD8" wp14:editId="12DF5EF2">
            <wp:extent cx="6570980" cy="4964430"/>
            <wp:effectExtent l="0" t="0" r="1270" b="7620"/>
            <wp:docPr id="1225653868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53868" name="Picture 1" descr="A whit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8CF">
      <w:pgSz w:w="11906" w:h="16838"/>
      <w:pgMar w:top="1440" w:right="707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7D25" w14:textId="77777777" w:rsidR="00367092" w:rsidRDefault="00367092" w:rsidP="00AC68E6">
      <w:pPr>
        <w:spacing w:line="240" w:lineRule="auto"/>
      </w:pPr>
      <w:r>
        <w:separator/>
      </w:r>
    </w:p>
  </w:endnote>
  <w:endnote w:type="continuationSeparator" w:id="0">
    <w:p w14:paraId="0B65D238" w14:textId="77777777" w:rsidR="00367092" w:rsidRDefault="00367092" w:rsidP="00AC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7C5F" w14:textId="77777777" w:rsidR="00367092" w:rsidRDefault="00367092" w:rsidP="00AC68E6">
      <w:pPr>
        <w:spacing w:line="240" w:lineRule="auto"/>
      </w:pPr>
      <w:r>
        <w:separator/>
      </w:r>
    </w:p>
  </w:footnote>
  <w:footnote w:type="continuationSeparator" w:id="0">
    <w:p w14:paraId="60202BFD" w14:textId="77777777" w:rsidR="00367092" w:rsidRDefault="00367092" w:rsidP="00AC68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1ED6819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808080"/>
        <w:sz w:val="22"/>
        <w:szCs w:val="22"/>
      </w:rPr>
    </w:lvl>
    <w:lvl w:ilvl="1" w:tplc="FA320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42A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3A4B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FA3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807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61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424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D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B66AED6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smallCaps w:val="0"/>
        <w:color w:val="000000"/>
        <w:sz w:val="22"/>
        <w:szCs w:val="22"/>
      </w:rPr>
    </w:lvl>
    <w:lvl w:ilvl="1" w:tplc="BCE40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E6C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49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B49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105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64D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E631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423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2384961">
    <w:abstractNumId w:val="0"/>
  </w:num>
  <w:num w:numId="2" w16cid:durableId="31445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C"/>
    <w:rsid w:val="000A635D"/>
    <w:rsid w:val="000C6681"/>
    <w:rsid w:val="001159EF"/>
    <w:rsid w:val="00245C98"/>
    <w:rsid w:val="00283CB4"/>
    <w:rsid w:val="00292EB9"/>
    <w:rsid w:val="002B2A50"/>
    <w:rsid w:val="002D4A86"/>
    <w:rsid w:val="00300558"/>
    <w:rsid w:val="00342AC4"/>
    <w:rsid w:val="00367092"/>
    <w:rsid w:val="004524BB"/>
    <w:rsid w:val="00461EE7"/>
    <w:rsid w:val="0055100C"/>
    <w:rsid w:val="00553B25"/>
    <w:rsid w:val="00560E9A"/>
    <w:rsid w:val="00582C7A"/>
    <w:rsid w:val="005B688E"/>
    <w:rsid w:val="005D6E17"/>
    <w:rsid w:val="00601FB2"/>
    <w:rsid w:val="006B33EE"/>
    <w:rsid w:val="006D2A32"/>
    <w:rsid w:val="00744454"/>
    <w:rsid w:val="00826D28"/>
    <w:rsid w:val="008F0D12"/>
    <w:rsid w:val="009F621E"/>
    <w:rsid w:val="00A100EE"/>
    <w:rsid w:val="00A5187B"/>
    <w:rsid w:val="00AB0848"/>
    <w:rsid w:val="00AC68E6"/>
    <w:rsid w:val="00BB289D"/>
    <w:rsid w:val="00BD2996"/>
    <w:rsid w:val="00BD2F37"/>
    <w:rsid w:val="00BD55AE"/>
    <w:rsid w:val="00C009D7"/>
    <w:rsid w:val="00CF7CF5"/>
    <w:rsid w:val="00D35B58"/>
    <w:rsid w:val="00D8279C"/>
    <w:rsid w:val="00DC35C9"/>
    <w:rsid w:val="00DE5CF8"/>
    <w:rsid w:val="00DE7694"/>
    <w:rsid w:val="00E30566"/>
    <w:rsid w:val="00E63250"/>
    <w:rsid w:val="00E825B3"/>
    <w:rsid w:val="00E95925"/>
    <w:rsid w:val="00EC423E"/>
    <w:rsid w:val="00F02573"/>
    <w:rsid w:val="00F17A5E"/>
    <w:rsid w:val="00F438CF"/>
    <w:rsid w:val="00F517F8"/>
    <w:rsid w:val="00F66EE2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EA2A"/>
  <w15:docId w15:val="{131AFAEC-8295-4B39-B729-5D892E9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semiHidden/>
    <w:unhideWhenUsed/>
    <w:rsid w:val="00461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EE7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EE7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AC68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E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68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E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Bishop</dc:creator>
  <cp:lastModifiedBy>Helen Taylor</cp:lastModifiedBy>
  <cp:revision>2</cp:revision>
  <dcterms:created xsi:type="dcterms:W3CDTF">2025-05-23T13:21:00Z</dcterms:created>
  <dcterms:modified xsi:type="dcterms:W3CDTF">2025-05-23T13:21:00Z</dcterms:modified>
</cp:coreProperties>
</file>